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SK2 2011 29 vom 7. September 2011</w:t>
      </w:r>
    </w:p>
    <w:p>
      <w:r>
        <w:t>GR Gerichte, 2011-09-07, DE</w:t>
      </w:r>
    </w:p>
    <w:p>
      <w:r>
        <w:rPr>
          <w:b/>
        </w:rPr>
        <w:t xml:space="preserve">Quelle: </w:t>
      </w:r>
      <w:r>
        <w:t>https://mcp.opencaselaw.ch/entscheid/gr_gerichte_SK2 2011 29</w:t>
      </w:r>
    </w:p>
    <w:p>
      <w:r>
        <w:t>FR: GR_GERICHTE SK2 2011 29 du 7 septembre 2011</w:t>
      </w:r>
    </w:p>
    <w:p>
      <w:r>
        <w:t>IT: GR_GERICHTE SK2 2011 29 del 7 settembre 2011</w:t>
      </w:r>
    </w:p>
    <w:p>
      <w:pPr>
        <w:pStyle w:val="Heading2"/>
      </w:pPr>
      <w:r>
        <w:t>Regeste</w:t>
      </w:r>
    </w:p>
    <w:p>
      <w:r>
        <w:t>Hausfriedensbruch | Beschwerde gegen StA, Einstellungsverfügung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Verfahrenskosten, bestehend aus - Barauslagen CHF 68.00</w:t>
      </w:r>
    </w:p>
    <w:p>
      <w:r>
        <w:t>Seite 3 — 10 - Gebühren CHF 625.00 Rechnungsbetrag CHF 693.00 werden der beschuldigten Person überbunden und sind gemäss bei- liegender Rechnung innert 30 Tagen an die Finanzverwaltung Graubünden, Postkonto 70-187-9, zu überweisen.</w:t>
      </w:r>
    </w:p>
    <w:p>
      <w:r>
        <w:rPr>
          <w:b/>
        </w:rPr>
        <w:t>E. 3</w:t>
      </w:r>
    </w:p>
    <w:p>
      <w:r>
        <w:t>Zusammenfassend ist festzuhalten, dass die von der Staatsanwaltschaft Graubünden gestützt auf Art. 426 Abs. 2 StPO erfolgte Überbindung der Verfah- renskosten zu Lasten von X. nicht zu beanstanden ist. Sie verstösst insbesondere nicht gegen den Grundsatz der Unschuldsvermutung im Sinne von Art. 32 Abs. 1 BV beziehungsweise gegen Art. 6 Ziffer 2 EMRK. Die Beschwerde ist damit abzu- weisen.</w:t>
      </w:r>
    </w:p>
    <w:p>
      <w:r>
        <w:rPr>
          <w:b/>
        </w:rPr>
        <w:t>E. 4</w:t>
      </w:r>
    </w:p>
    <w:p>
      <w:r>
        <w:t>Gemäss Art. 428 StPO tragen die Kosten des Rechtsmittelverfahrens die Parteien nach Massgabe ihres Obsiegens oder Unterliegens. Soweit die Staats- anwaltschaft Partei ist, fallen die sie betreffenden Kosten an den Staat (vgl. Franz Riklin, a.a.O., N 1 zu Art. 428). Vorliegend ist der Beschwerdeführer mit seinen Anträgen nicht durchgedrungen und die Beschwerde wurde im Sinne der Erwä- gungen vollumfänglich abgewiesen. Demnach gehen die Kosten des Beschwer- deverfahrens zu Lasten des Beschwerdeführers. Grundsätzlich wird für Entschei- de im Rechtsmittelverfahren eine Gerichtsgebühr von Fr. 1‘000.-- bis Fr. 5‘000.-- erhoben (vgl. Art. 8 der Verordnung über die Gerichtsgebühren in Strafverfahren; VGS; BR 350.210). In einem Verfahren nach Art. 18 Abs. 3 GOG, in welchem der zuständige Vorsitzende in einzelrichterlicher Kompetenz entscheidet, kann die</w:t>
      </w:r>
    </w:p>
    <w:p>
      <w:r>
        <w:t>Seite 9 — 10 Gerichtsgebühr nach Ermessen des Gerichts herabgesetzt werden (vgl. Art. 10 VGS). Vorliegend liegt die Zuständigkeit für die Beurteilung der Beschwerde eben- falls bei der Verfahrensleitung gleichsam als Einzelrichter. Allerdings beruht die begründete Zuständigkeit auf einer anderen Rechtsgrundlage (Art. 395 lit. b StPO; vgl. auch Erwägung 1.b des vorliegenden Entscheides). Daher rechtfertigt es sich, die Gerichtsgebühr entsprechend einem Verfahren gemäss Art. 18 Abs. 3 GOG nach Ermessen herabzusetzen. Die Kosten des Beschwerdeverfahrens werden auf Fr. 500.-- festgelegt.</w:t>
      </w:r>
    </w:p>
    <w:p>
      <w:r>
        <w:t>Seite 10 — 10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